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74928" w14:textId="06F7894C" w:rsidR="002C2413" w:rsidRPr="002C2413" w:rsidRDefault="002C2413" w:rsidP="002C2413">
      <w:pPr>
        <w:pStyle w:val="Standard"/>
        <w:pageBreakBefore/>
        <w:spacing w:after="20"/>
        <w:jc w:val="center"/>
        <w:rPr>
          <w:rFonts w:asciiTheme="minorHAnsi" w:hAnsiTheme="minorHAnsi" w:cstheme="minorHAnsi"/>
          <w:bCs/>
          <w:color w:val="4F81BD" w:themeColor="accent1"/>
          <w:sz w:val="40"/>
          <w:szCs w:val="26"/>
        </w:rPr>
      </w:pPr>
      <w:r w:rsidRPr="002C2413">
        <w:rPr>
          <w:rFonts w:asciiTheme="minorHAnsi" w:hAnsiTheme="minorHAnsi" w:cstheme="minorHAnsi"/>
          <w:bCs/>
          <w:color w:val="4F81BD" w:themeColor="accent1"/>
          <w:sz w:val="52"/>
          <w:szCs w:val="36"/>
        </w:rPr>
        <w:t xml:space="preserve">L’AFFIDAMENTO DEI SERVIZI SOCIALI E IL NUOVO CODICE DEI CONTRATTI PUBBLICI </w:t>
      </w:r>
    </w:p>
    <w:p w14:paraId="76F249C8" w14:textId="50FF4EE8" w:rsidR="002C2413" w:rsidRDefault="002C2413" w:rsidP="002C2413">
      <w:pPr>
        <w:pStyle w:val="Standard"/>
        <w:spacing w:after="20" w:line="240" w:lineRule="auto"/>
        <w:jc w:val="center"/>
        <w:rPr>
          <w:rFonts w:asciiTheme="minorHAnsi" w:hAnsiTheme="minorHAnsi" w:cstheme="minorHAnsi"/>
          <w:color w:val="404040" w:themeColor="text1" w:themeTint="BF"/>
          <w:lang w:val="it-IT"/>
        </w:rPr>
      </w:pPr>
      <w:r>
        <w:rPr>
          <w:rFonts w:asciiTheme="minorHAnsi" w:hAnsiTheme="minorHAnsi" w:cstheme="minorHAnsi"/>
          <w:b/>
          <w:color w:val="C00000"/>
          <w:sz w:val="32"/>
          <w:lang w:val="it-IT"/>
        </w:rPr>
        <w:t xml:space="preserve">9 </w:t>
      </w:r>
      <w:proofErr w:type="gramStart"/>
      <w:r w:rsidRPr="002C2413">
        <w:rPr>
          <w:rFonts w:asciiTheme="minorHAnsi" w:hAnsiTheme="minorHAnsi" w:cstheme="minorHAnsi"/>
          <w:b/>
          <w:color w:val="31849B" w:themeColor="accent5" w:themeShade="BF"/>
          <w:sz w:val="32"/>
          <w:lang w:val="it-IT"/>
        </w:rPr>
        <w:t>aprile</w:t>
      </w:r>
      <w:r>
        <w:rPr>
          <w:rFonts w:asciiTheme="minorHAnsi" w:hAnsiTheme="minorHAnsi" w:cstheme="minorHAnsi"/>
          <w:b/>
          <w:color w:val="C00000"/>
          <w:sz w:val="32"/>
          <w:lang w:val="it-IT"/>
        </w:rPr>
        <w:t xml:space="preserve"> </w:t>
      </w:r>
      <w:r w:rsidRPr="001A3CF5">
        <w:rPr>
          <w:rFonts w:asciiTheme="minorHAnsi" w:hAnsiTheme="minorHAnsi" w:cstheme="minorHAnsi"/>
          <w:b/>
          <w:color w:val="C00000"/>
          <w:sz w:val="24"/>
          <w:lang w:val="it-IT"/>
        </w:rPr>
        <w:t xml:space="preserve"> </w:t>
      </w:r>
      <w:r>
        <w:rPr>
          <w:rFonts w:asciiTheme="minorHAnsi" w:hAnsiTheme="minorHAnsi" w:cstheme="minorHAnsi"/>
          <w:b/>
          <w:color w:val="C00000"/>
          <w:sz w:val="32"/>
          <w:lang w:val="it-IT"/>
        </w:rPr>
        <w:t>2024</w:t>
      </w:r>
      <w:proofErr w:type="gramEnd"/>
      <w:r>
        <w:rPr>
          <w:rFonts w:asciiTheme="minorHAnsi" w:hAnsiTheme="minorHAnsi" w:cstheme="minorHAnsi"/>
          <w:b/>
          <w:color w:val="C00000"/>
          <w:sz w:val="32"/>
          <w:lang w:val="it-IT"/>
        </w:rPr>
        <w:t xml:space="preserve"> </w:t>
      </w:r>
      <w:r w:rsidRPr="00753B82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753B82">
        <w:rPr>
          <w:rFonts w:asciiTheme="minorHAnsi" w:hAnsiTheme="minorHAnsi" w:cstheme="minorHAnsi"/>
          <w:color w:val="404040" w:themeColor="text1" w:themeTint="BF"/>
          <w:sz w:val="24"/>
          <w:lang w:val="it-IT"/>
        </w:rPr>
        <w:t xml:space="preserve">orario </w:t>
      </w:r>
      <w:r w:rsidRPr="00753B82">
        <w:rPr>
          <w:rFonts w:asciiTheme="minorHAnsi" w:hAnsiTheme="minorHAnsi" w:cstheme="minorHAnsi"/>
          <w:color w:val="404040" w:themeColor="text1" w:themeTint="BF"/>
          <w:lang w:val="it-IT"/>
        </w:rPr>
        <w:t>9:00 13:00</w:t>
      </w:r>
    </w:p>
    <w:p w14:paraId="125E4E3D" w14:textId="070D1455" w:rsidR="002C2413" w:rsidRPr="002C2413" w:rsidRDefault="002C2413" w:rsidP="002C2413">
      <w:pPr>
        <w:pStyle w:val="Standard"/>
        <w:spacing w:after="20" w:line="240" w:lineRule="auto"/>
        <w:jc w:val="center"/>
        <w:rPr>
          <w:rFonts w:asciiTheme="minorHAnsi" w:hAnsiTheme="minorHAnsi" w:cstheme="minorHAnsi"/>
          <w:i/>
          <w:color w:val="215868" w:themeColor="accent5" w:themeShade="80"/>
          <w:sz w:val="32"/>
          <w:lang w:val="it-IT"/>
        </w:rPr>
      </w:pPr>
      <w:r w:rsidRPr="00AF4EC6">
        <w:rPr>
          <w:rFonts w:asciiTheme="minorHAnsi" w:hAnsiTheme="minorHAnsi" w:cstheme="minorHAnsi"/>
          <w:color w:val="404040" w:themeColor="text1" w:themeTint="BF"/>
          <w:sz w:val="28"/>
          <w:lang w:val="it-IT"/>
        </w:rPr>
        <w:t>docente</w:t>
      </w:r>
      <w:r w:rsidRPr="00AF4EC6">
        <w:rPr>
          <w:rFonts w:asciiTheme="minorHAnsi" w:hAnsiTheme="minorHAnsi" w:cstheme="minorHAnsi"/>
          <w:b/>
          <w:i/>
          <w:color w:val="215868" w:themeColor="accent5" w:themeShade="80"/>
          <w:sz w:val="36"/>
          <w:lang w:val="it-IT"/>
        </w:rPr>
        <w:t xml:space="preserve"> </w:t>
      </w:r>
      <w:r w:rsidRPr="00AF4EC6">
        <w:rPr>
          <w:rFonts w:asciiTheme="minorHAnsi" w:hAnsiTheme="minorHAnsi" w:cstheme="minorHAnsi"/>
          <w:color w:val="C00000"/>
          <w:sz w:val="36"/>
          <w:lang w:val="it-IT"/>
        </w:rPr>
        <w:t xml:space="preserve">Roberto ONORATI </w:t>
      </w:r>
      <w:r w:rsidRPr="001A3CF5">
        <w:rPr>
          <w:rFonts w:asciiTheme="minorHAnsi" w:hAnsiTheme="minorHAnsi" w:cstheme="minorHAnsi"/>
          <w:color w:val="215868" w:themeColor="accent5" w:themeShade="80"/>
          <w:sz w:val="32"/>
          <w:lang w:val="it-IT"/>
        </w:rPr>
        <w:t>Segretario Comunale</w:t>
      </w:r>
      <w:r w:rsidRPr="001A3CF5">
        <w:rPr>
          <w:rFonts w:asciiTheme="minorHAnsi" w:hAnsiTheme="minorHAnsi" w:cstheme="minorHAnsi"/>
          <w:i/>
          <w:color w:val="215868" w:themeColor="accent5" w:themeShade="80"/>
          <w:sz w:val="32"/>
          <w:lang w:val="it-IT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84D6829" w14:textId="77777777" w:rsidR="003317CE" w:rsidRDefault="003317CE" w:rsidP="002C2413">
      <w:pPr>
        <w:pStyle w:val="Standard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</w:p>
    <w:p w14:paraId="6E2C718C" w14:textId="63755BBE" w:rsidR="002C2413" w:rsidRPr="002C2413" w:rsidRDefault="002C2413" w:rsidP="002C2413">
      <w:pPr>
        <w:pStyle w:val="Standard"/>
        <w:jc w:val="both"/>
        <w:rPr>
          <w:rFonts w:asciiTheme="minorHAnsi" w:hAnsiTheme="minorHAnsi" w:cstheme="minorHAnsi"/>
          <w:color w:val="7F7F7F" w:themeColor="text1" w:themeTint="80"/>
          <w:sz w:val="20"/>
          <w:szCs w:val="26"/>
        </w:rPr>
      </w:pPr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Il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corso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affronta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la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tematica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dell’affidamento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dei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servizi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alla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persona in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ambito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locale.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Verrà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offerto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un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quadro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complessivo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sulle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relazioni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che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si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possono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instaurare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tra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enti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locali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e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terzo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settore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nella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gestione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servizi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interesse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pubblico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. Con un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taglio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pratico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e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attraverso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l'esame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casi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concreti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verranno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passate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in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rassegna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le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principali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fattispecie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e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gli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ultimi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orientamenti</w:t>
      </w:r>
      <w:proofErr w:type="spellEnd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3317CE">
        <w:rPr>
          <w:rFonts w:asciiTheme="minorHAnsi" w:hAnsiTheme="minorHAnsi" w:cstheme="minorHAnsi"/>
          <w:color w:val="7F7F7F" w:themeColor="text1" w:themeTint="80"/>
          <w:szCs w:val="26"/>
        </w:rPr>
        <w:t>giurisprudenziali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 w:val="20"/>
          <w:szCs w:val="26"/>
        </w:rPr>
        <w:t>.</w:t>
      </w:r>
    </w:p>
    <w:p w14:paraId="3A0CFD7F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Rapporto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tra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nuovo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codice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contratti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pubblici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proofErr w:type="gram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D.Lgs</w:t>
      </w:r>
      <w:proofErr w:type="spellEnd"/>
      <w:proofErr w:type="gram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. 36/2023 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Codice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terzo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settore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proofErr w:type="gram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D.Lgs</w:t>
      </w:r>
      <w:proofErr w:type="spellEnd"/>
      <w:proofErr w:type="gram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117/2017.</w:t>
      </w:r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principi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solidarietà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e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sussidiarietà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orizzontale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L’art.6 del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codice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contratti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pubblici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.</w:t>
      </w:r>
    </w:p>
    <w:p w14:paraId="1F65D1DF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Le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fattispecie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estranee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al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codice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contratti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pubblici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.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Convenzioni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accordi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. </w:t>
      </w:r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Le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forme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amministrazione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condivisa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ai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sensi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Codice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Terzo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Settore. Le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forme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collaborazione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con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organizzazioni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non lucrative,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iscritte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e non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iscritte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al RUNTS</w:t>
      </w:r>
    </w:p>
    <w:p w14:paraId="20311E99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La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scelta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tra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appalti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servizi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forme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coinvolgimento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del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terzo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settore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Il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decreto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Ministro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lavoro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e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delle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politiche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sociali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n. 72 del 31/3/2021. Le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fattispecie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escluse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dall’applicazione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codice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contratti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pubblici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</w:t>
      </w:r>
    </w:p>
    <w:p w14:paraId="176F8B1B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7F7F7F" w:themeColor="text1" w:themeTint="80"/>
          <w:szCs w:val="26"/>
        </w:rPr>
      </w:pP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Gli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appalti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riservati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. </w:t>
      </w:r>
      <w:bookmarkStart w:id="0" w:name="II.3"/>
      <w:bookmarkEnd w:id="0"/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L’Allegato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II.3 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</w:t>
      </w: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oggetti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 xml:space="preserve"> con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disabilità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 xml:space="preserve"> o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svantaggiati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 xml:space="preserve"> cui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può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essere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riservata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 xml:space="preserve"> la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partecipazione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ad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appalti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  <w:shd w:val="clear" w:color="auto" w:fill="F5FDFE"/>
        </w:rPr>
        <w:t>.</w:t>
      </w:r>
    </w:p>
    <w:p w14:paraId="2D385524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7F7F7F" w:themeColor="text1" w:themeTint="80"/>
          <w:szCs w:val="26"/>
        </w:rPr>
      </w:pP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Le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convenzioni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con le cooperative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sociali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tipo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B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sensi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del </w:t>
      </w:r>
      <w:proofErr w:type="spellStart"/>
      <w:proofErr w:type="gram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D.Lgs</w:t>
      </w:r>
      <w:proofErr w:type="spellEnd"/>
      <w:proofErr w:type="gram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381/91.</w:t>
      </w:r>
    </w:p>
    <w:p w14:paraId="652700BF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Servizi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sociali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Allegato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XIV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alla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direttiva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europea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2014/24/UE. </w:t>
      </w:r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profili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soggettivi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soggetti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terzo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settore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soggetti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terzo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settore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quali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operatori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economici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.</w:t>
      </w:r>
    </w:p>
    <w:p w14:paraId="245481D8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Il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ruolo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terzo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settore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nella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gestione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servizi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pubblici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locali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.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L’art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18 del </w:t>
      </w:r>
      <w:proofErr w:type="spellStart"/>
      <w:proofErr w:type="gram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D.Lgs</w:t>
      </w:r>
      <w:proofErr w:type="spellEnd"/>
      <w:proofErr w:type="gram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201/2022 e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il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partenariato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con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gli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enti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terzo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settore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per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progetti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specifici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nell’ambito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servizi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rilevanza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economica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.</w:t>
      </w:r>
    </w:p>
    <w:p w14:paraId="590608DE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7F7F7F" w:themeColor="text1" w:themeTint="80"/>
          <w:szCs w:val="26"/>
        </w:rPr>
      </w:pP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La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concessione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servizi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sociali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e la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gestione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servizi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senza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rilevanza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economica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. </w:t>
      </w:r>
    </w:p>
    <w:p w14:paraId="578F1ED7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Le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fattispecie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assoggettate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all’applicazione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codice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contratti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pubblici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.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Ambito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oggettivo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e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soglia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applicazione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</w:t>
      </w:r>
    </w:p>
    <w:p w14:paraId="289EF10E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7F7F7F" w:themeColor="text1" w:themeTint="80"/>
          <w:szCs w:val="26"/>
        </w:rPr>
      </w:pP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Gli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appalti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servizi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sociali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secondo la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disciplina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degli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articoli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127, 128 e 129 del </w:t>
      </w:r>
      <w:proofErr w:type="spellStart"/>
      <w:proofErr w:type="gram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D.Lgs</w:t>
      </w:r>
      <w:proofErr w:type="spellEnd"/>
      <w:proofErr w:type="gram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n. 36 del 2023. </w:t>
      </w: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principi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criteri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per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l’appalto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servizi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sociali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. Le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norme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del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codice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applicabili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servizi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sociali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.</w:t>
      </w:r>
    </w:p>
    <w:p w14:paraId="74925C7B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Le procedure. I</w:t>
      </w:r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concetto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preselezione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: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differenza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tra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elementi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qualificazione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ed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elementi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selezione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limiti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imposti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dalla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normativa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La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residuale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discrezionalità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della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stazione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appaltante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nella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qualificazione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dei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concorrenti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.</w:t>
      </w:r>
    </w:p>
    <w:p w14:paraId="2DF2D5F1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Appalti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rilevanza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comunitaria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Appalti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a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rilevanza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nazionale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: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criterio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della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flessibilità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e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semplificazione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della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qualificazione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Gli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affidamenti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diretti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.</w:t>
      </w:r>
    </w:p>
    <w:p w14:paraId="580650BF" w14:textId="77777777" w:rsidR="002C2413" w:rsidRPr="002C2413" w:rsidRDefault="002C2413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requisiti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ammissione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alle</w:t>
      </w:r>
      <w:proofErr w:type="spellEnd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gare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Requisiti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generali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: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disamina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delle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cause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esclusione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introdotte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dal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codice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Requisiti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speciali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: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individuazione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una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griglia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selettiva</w:t>
      </w:r>
      <w:proofErr w:type="spellEnd"/>
      <w:r w:rsidRPr="002C2413">
        <w:rPr>
          <w:rFonts w:asciiTheme="minorHAnsi" w:hAnsiTheme="minorHAnsi" w:cstheme="minorHAnsi"/>
          <w:color w:val="7F7F7F" w:themeColor="text1" w:themeTint="80"/>
          <w:szCs w:val="26"/>
        </w:rPr>
        <w:t>.</w:t>
      </w:r>
    </w:p>
    <w:p w14:paraId="05549332" w14:textId="1FD44B36" w:rsidR="002C2413" w:rsidRPr="002C2413" w:rsidRDefault="003317CE" w:rsidP="002C2413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7F7F7F" w:themeColor="text1" w:themeTint="80"/>
          <w:szCs w:val="26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I </w:t>
      </w:r>
      <w:proofErr w:type="spellStart"/>
      <w:r w:rsidR="002C2413"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Criteri</w:t>
      </w:r>
      <w:proofErr w:type="spellEnd"/>
      <w:r w:rsidR="002C2413"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 xml:space="preserve"> di </w:t>
      </w:r>
      <w:proofErr w:type="spellStart"/>
      <w:r w:rsidR="002C2413" w:rsidRPr="002C2413">
        <w:rPr>
          <w:rFonts w:asciiTheme="minorHAnsi" w:hAnsiTheme="minorHAnsi" w:cstheme="minorHAnsi"/>
          <w:b/>
          <w:bCs/>
          <w:color w:val="7F7F7F" w:themeColor="text1" w:themeTint="80"/>
          <w:szCs w:val="26"/>
        </w:rPr>
        <w:t>aggiudicazione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L’offerta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economicamente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più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vantaggiosa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quale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criterio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per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l’affidamento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degli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appalti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servizi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sociali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La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commissione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gara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: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costituzione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,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adempimenti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,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ricevimento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e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apertura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dei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plichi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Valutazione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delle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offerte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: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eventuali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offerte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anomale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.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Proposta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di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aggiudicazione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e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approvazione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aggiudicazione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da parte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dell’organo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 xml:space="preserve"> </w:t>
      </w:r>
      <w:proofErr w:type="spellStart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co</w:t>
      </w:r>
      <w:bookmarkStart w:id="1" w:name="_GoBack"/>
      <w:bookmarkEnd w:id="1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mpetente</w:t>
      </w:r>
      <w:proofErr w:type="spellEnd"/>
      <w:r w:rsidR="002C2413" w:rsidRPr="002C2413">
        <w:rPr>
          <w:rFonts w:asciiTheme="minorHAnsi" w:hAnsiTheme="minorHAnsi" w:cstheme="minorHAnsi"/>
          <w:color w:val="7F7F7F" w:themeColor="text1" w:themeTint="80"/>
          <w:szCs w:val="26"/>
        </w:rPr>
        <w:t>.</w:t>
      </w:r>
    </w:p>
    <w:p w14:paraId="01F0469F" w14:textId="4C5968CC" w:rsidR="006236DC" w:rsidRPr="00AF4EC6" w:rsidRDefault="006236DC" w:rsidP="006236DC">
      <w:pPr>
        <w:pStyle w:val="Standard"/>
        <w:pageBreakBefore/>
        <w:spacing w:after="20"/>
        <w:jc w:val="center"/>
        <w:rPr>
          <w:rFonts w:ascii="Arial" w:hAnsi="Arial" w:cs="Arial"/>
          <w:bCs/>
          <w:color w:val="31849B" w:themeColor="accent5" w:themeShade="BF"/>
          <w:sz w:val="44"/>
          <w:szCs w:val="26"/>
        </w:rPr>
      </w:pPr>
    </w:p>
    <w:p w14:paraId="49335AC8" w14:textId="310BC656" w:rsidR="0066097A" w:rsidRPr="006236DC" w:rsidRDefault="0066097A" w:rsidP="00AF4EC6">
      <w:pPr>
        <w:autoSpaceDE w:val="0"/>
        <w:autoSpaceDN w:val="0"/>
        <w:adjustRightInd w:val="0"/>
        <w:spacing w:after="0" w:line="240" w:lineRule="auto"/>
        <w:rPr>
          <w:rFonts w:eastAsia="Yu Gothic UI Light" w:cstheme="minorHAnsi"/>
          <w:color w:val="000000" w:themeColor="text1"/>
          <w:sz w:val="16"/>
        </w:rPr>
      </w:pPr>
    </w:p>
    <w:p w14:paraId="31C83411" w14:textId="77777777" w:rsidR="00905934" w:rsidRDefault="00905934" w:rsidP="0066097A">
      <w:pPr>
        <w:autoSpaceDE w:val="0"/>
        <w:autoSpaceDN w:val="0"/>
        <w:adjustRightInd w:val="0"/>
        <w:spacing w:after="0"/>
        <w:rPr>
          <w:rFonts w:eastAsia="Yu Gothic UI Light" w:cstheme="minorHAnsi"/>
          <w:color w:val="31849B" w:themeColor="accent5" w:themeShade="BF"/>
          <w:sz w:val="20"/>
        </w:rPr>
      </w:pPr>
    </w:p>
    <w:p w14:paraId="68D45355" w14:textId="77777777" w:rsidR="00905934" w:rsidRDefault="00905934" w:rsidP="0066097A">
      <w:pPr>
        <w:autoSpaceDE w:val="0"/>
        <w:autoSpaceDN w:val="0"/>
        <w:adjustRightInd w:val="0"/>
        <w:spacing w:after="0"/>
        <w:rPr>
          <w:rFonts w:eastAsia="Yu Gothic UI Light" w:cstheme="minorHAnsi"/>
          <w:color w:val="31849B" w:themeColor="accent5" w:themeShade="BF"/>
          <w:sz w:val="20"/>
        </w:rPr>
      </w:pPr>
    </w:p>
    <w:p w14:paraId="522E7EE0" w14:textId="6882466B" w:rsidR="0066097A" w:rsidRPr="00BE5E9D" w:rsidRDefault="0066097A" w:rsidP="00A461F2">
      <w:pPr>
        <w:autoSpaceDE w:val="0"/>
        <w:autoSpaceDN w:val="0"/>
        <w:adjustRightInd w:val="0"/>
        <w:spacing w:after="0" w:line="360" w:lineRule="auto"/>
        <w:rPr>
          <w:rFonts w:eastAsia="Yu Gothic UI Light" w:cstheme="minorHAnsi"/>
          <w:color w:val="404040" w:themeColor="text1" w:themeTint="BF"/>
        </w:rPr>
      </w:pPr>
      <w:r w:rsidRPr="00BE5E9D">
        <w:rPr>
          <w:rFonts w:eastAsia="Yu Gothic UI Light" w:cstheme="minorHAnsi"/>
          <w:color w:val="404040" w:themeColor="text1" w:themeTint="BF"/>
        </w:rPr>
        <w:t xml:space="preserve">Direzione della Formazione: Dr.ssa Marica Barghetti tel. 340 6783009 - formazione@ucversilia.it </w:t>
      </w:r>
    </w:p>
    <w:p w14:paraId="5CC63782" w14:textId="77777777" w:rsidR="0066097A" w:rsidRPr="00A461F2" w:rsidRDefault="0066097A" w:rsidP="00A461F2">
      <w:pPr>
        <w:pStyle w:val="Default"/>
        <w:spacing w:line="360" w:lineRule="auto"/>
        <w:rPr>
          <w:rFonts w:asciiTheme="minorHAnsi" w:eastAsia="Yu Gothic UI Light" w:hAnsiTheme="minorHAnsi" w:cstheme="minorHAnsi"/>
          <w:color w:val="000000" w:themeColor="text1"/>
          <w:sz w:val="20"/>
          <w:szCs w:val="20"/>
        </w:rPr>
      </w:pPr>
      <w:r w:rsidRPr="0066097A">
        <w:rPr>
          <w:rFonts w:asciiTheme="minorHAnsi" w:eastAsia="Yu Gothic UI Light" w:hAnsiTheme="minorHAnsi" w:cstheme="minorHAnsi"/>
          <w:bCs/>
          <w:color w:val="C00000"/>
          <w:sz w:val="20"/>
          <w:szCs w:val="22"/>
        </w:rPr>
        <w:t>MODALITÀ di ISCRIZIONE</w:t>
      </w:r>
      <w:r w:rsidRPr="0066097A">
        <w:rPr>
          <w:rFonts w:asciiTheme="minorHAnsi" w:eastAsia="Yu Gothic UI Light" w:hAnsiTheme="minorHAnsi" w:cstheme="minorHAnsi"/>
          <w:color w:val="31849B" w:themeColor="accent5" w:themeShade="BF"/>
          <w:sz w:val="20"/>
          <w:szCs w:val="22"/>
        </w:rPr>
        <w:t>:</w:t>
      </w:r>
      <w:r w:rsidRPr="0066097A">
        <w:rPr>
          <w:rFonts w:asciiTheme="minorHAnsi" w:eastAsia="Yu Gothic UI Light" w:hAnsiTheme="minorHAnsi" w:cstheme="minorHAnsi"/>
          <w:color w:val="31849B" w:themeColor="accent5" w:themeShade="BF"/>
          <w:sz w:val="22"/>
        </w:rPr>
        <w:t xml:space="preserve"> </w:t>
      </w:r>
      <w:r w:rsidRPr="00A461F2">
        <w:rPr>
          <w:rFonts w:asciiTheme="minorHAnsi" w:eastAsia="Yu Gothic" w:hAnsiTheme="minorHAnsi" w:cstheme="minorHAnsi"/>
          <w:color w:val="000000" w:themeColor="text1"/>
          <w:sz w:val="18"/>
          <w:szCs w:val="16"/>
        </w:rPr>
        <w:t xml:space="preserve">I </w:t>
      </w:r>
      <w:proofErr w:type="spellStart"/>
      <w:r w:rsidRPr="00A461F2">
        <w:rPr>
          <w:rFonts w:asciiTheme="minorHAnsi" w:eastAsia="Yu Gothic" w:hAnsiTheme="minorHAnsi" w:cstheme="minorHAnsi"/>
          <w:color w:val="000000" w:themeColor="text1"/>
          <w:sz w:val="18"/>
          <w:szCs w:val="16"/>
        </w:rPr>
        <w:t>Webinar</w:t>
      </w:r>
      <w:proofErr w:type="spellEnd"/>
      <w:r w:rsidRPr="00A461F2">
        <w:rPr>
          <w:rFonts w:asciiTheme="minorHAnsi" w:eastAsia="Yu Gothic" w:hAnsiTheme="minorHAnsi" w:cstheme="minorHAnsi"/>
          <w:color w:val="000000" w:themeColor="text1"/>
          <w:sz w:val="18"/>
          <w:szCs w:val="16"/>
        </w:rPr>
        <w:t xml:space="preserve"> sono così strutturati:</w:t>
      </w:r>
    </w:p>
    <w:p w14:paraId="3B4C51CA" w14:textId="77777777" w:rsidR="0066097A" w:rsidRPr="00A461F2" w:rsidRDefault="0066097A" w:rsidP="00A461F2">
      <w:pPr>
        <w:pStyle w:val="Default"/>
        <w:spacing w:line="360" w:lineRule="auto"/>
        <w:rPr>
          <w:rFonts w:asciiTheme="minorHAnsi" w:eastAsia="Yu Gothic UI Light" w:hAnsiTheme="minorHAnsi" w:cstheme="minorHAnsi"/>
          <w:color w:val="000000" w:themeColor="text1"/>
          <w:sz w:val="20"/>
          <w:szCs w:val="16"/>
        </w:rPr>
      </w:pPr>
      <w:r w:rsidRPr="00A461F2">
        <w:rPr>
          <w:rFonts w:asciiTheme="minorHAnsi" w:eastAsia="Yu Gothic UI Light" w:hAnsiTheme="minorHAnsi" w:cstheme="minorHAnsi"/>
          <w:color w:val="000000" w:themeColor="text1"/>
          <w:sz w:val="20"/>
          <w:szCs w:val="16"/>
        </w:rPr>
        <w:t>-Sarà inviata un link a cui collegarsi, che richiede nominativo e mail dei partecipanti.</w:t>
      </w:r>
    </w:p>
    <w:p w14:paraId="79EA8ADF" w14:textId="77777777" w:rsidR="0066097A" w:rsidRPr="00A461F2" w:rsidRDefault="0066097A" w:rsidP="00A461F2">
      <w:pPr>
        <w:pStyle w:val="Default"/>
        <w:spacing w:line="360" w:lineRule="auto"/>
        <w:rPr>
          <w:rFonts w:asciiTheme="minorHAnsi" w:eastAsia="Yu Gothic UI Light" w:hAnsiTheme="minorHAnsi" w:cstheme="minorHAnsi"/>
          <w:color w:val="000000" w:themeColor="text1"/>
          <w:sz w:val="20"/>
          <w:szCs w:val="16"/>
        </w:rPr>
      </w:pPr>
      <w:r w:rsidRPr="00A461F2">
        <w:rPr>
          <w:rFonts w:asciiTheme="minorHAnsi" w:eastAsia="Yu Gothic UI Light" w:hAnsiTheme="minorHAnsi" w:cstheme="minorHAnsi"/>
          <w:color w:val="000000" w:themeColor="text1"/>
          <w:sz w:val="20"/>
          <w:szCs w:val="16"/>
        </w:rPr>
        <w:t>- un’ora prima dell'erogazione del corso o seminario sarà inviato dal sistema un Promemoria di partecipazione.</w:t>
      </w:r>
    </w:p>
    <w:p w14:paraId="35DE7AB5" w14:textId="77777777" w:rsidR="0066097A" w:rsidRPr="00A461F2" w:rsidRDefault="0066097A" w:rsidP="00A461F2">
      <w:pPr>
        <w:pStyle w:val="Default"/>
        <w:spacing w:line="360" w:lineRule="auto"/>
        <w:rPr>
          <w:rFonts w:asciiTheme="minorHAnsi" w:eastAsia="Yu Gothic UI Light" w:hAnsiTheme="minorHAnsi" w:cstheme="minorHAnsi"/>
          <w:color w:val="000000" w:themeColor="text1"/>
          <w:sz w:val="20"/>
          <w:szCs w:val="16"/>
        </w:rPr>
      </w:pPr>
      <w:r w:rsidRPr="00A461F2">
        <w:rPr>
          <w:rFonts w:asciiTheme="minorHAnsi" w:eastAsia="Yu Gothic UI Light" w:hAnsiTheme="minorHAnsi" w:cstheme="minorHAnsi"/>
          <w:color w:val="000000" w:themeColor="text1"/>
          <w:sz w:val="20"/>
          <w:szCs w:val="16"/>
        </w:rPr>
        <w:t>-I dati sensibili del partecipante sono gestiti dal dominio della piattaforma</w:t>
      </w:r>
    </w:p>
    <w:p w14:paraId="48B87376" w14:textId="11175292" w:rsidR="0066097A" w:rsidRDefault="0066097A" w:rsidP="00A461F2">
      <w:pPr>
        <w:pStyle w:val="Default"/>
        <w:spacing w:line="360" w:lineRule="auto"/>
        <w:rPr>
          <w:rFonts w:asciiTheme="minorHAnsi" w:hAnsiTheme="minorHAnsi" w:cstheme="minorHAnsi"/>
          <w:color w:val="C00000"/>
          <w:sz w:val="20"/>
        </w:rPr>
      </w:pPr>
      <w:r w:rsidRPr="0066097A">
        <w:rPr>
          <w:rFonts w:asciiTheme="minorHAnsi" w:eastAsia="Yu Gothic UI Light" w:hAnsiTheme="minorHAnsi" w:cstheme="minorHAnsi"/>
          <w:bCs/>
          <w:color w:val="C00000"/>
          <w:sz w:val="20"/>
          <w:szCs w:val="22"/>
        </w:rPr>
        <w:t>QUOTA PARTECIPAZIONE</w:t>
      </w:r>
      <w:r w:rsidRPr="0066097A">
        <w:rPr>
          <w:rFonts w:asciiTheme="minorHAnsi" w:eastAsia="Yu Gothic UI Light" w:hAnsiTheme="minorHAnsi" w:cstheme="minorHAnsi"/>
          <w:bCs/>
          <w:color w:val="31849B" w:themeColor="accent5" w:themeShade="BF"/>
          <w:sz w:val="20"/>
          <w:szCs w:val="22"/>
        </w:rPr>
        <w:t>:</w:t>
      </w:r>
      <w:r w:rsidRPr="0066097A">
        <w:rPr>
          <w:rFonts w:asciiTheme="minorHAnsi" w:hAnsiTheme="minorHAnsi" w:cstheme="minorHAnsi"/>
        </w:rPr>
        <w:t xml:space="preserve"> </w:t>
      </w:r>
      <w:r w:rsidRPr="0066097A">
        <w:rPr>
          <w:rFonts w:asciiTheme="minorHAnsi" w:hAnsiTheme="minorHAnsi" w:cstheme="minorHAnsi"/>
          <w:color w:val="C00000"/>
          <w:sz w:val="20"/>
        </w:rPr>
        <w:t xml:space="preserve">Privati e liberi professionisti € </w:t>
      </w:r>
      <w:r w:rsidR="002C2413">
        <w:rPr>
          <w:rFonts w:asciiTheme="minorHAnsi" w:hAnsiTheme="minorHAnsi" w:cstheme="minorHAnsi"/>
          <w:color w:val="C00000"/>
          <w:sz w:val="20"/>
        </w:rPr>
        <w:t>7</w:t>
      </w:r>
      <w:r w:rsidRPr="0066097A">
        <w:rPr>
          <w:rFonts w:asciiTheme="minorHAnsi" w:hAnsiTheme="minorHAnsi" w:cstheme="minorHAnsi"/>
          <w:color w:val="C00000"/>
          <w:sz w:val="20"/>
        </w:rPr>
        <w:t>0,00 +IVA</w:t>
      </w:r>
    </w:p>
    <w:p w14:paraId="33164899" w14:textId="0B48E71E" w:rsidR="0066097A" w:rsidRPr="0066097A" w:rsidRDefault="0066097A" w:rsidP="00A461F2">
      <w:pPr>
        <w:pStyle w:val="Default"/>
        <w:spacing w:line="360" w:lineRule="auto"/>
        <w:rPr>
          <w:rFonts w:asciiTheme="minorHAnsi" w:eastAsia="Yu Gothic UI Light" w:hAnsiTheme="minorHAnsi" w:cstheme="minorHAnsi"/>
          <w:b/>
          <w:bCs/>
          <w:color w:val="C00000"/>
          <w:sz w:val="16"/>
          <w:szCs w:val="22"/>
        </w:rPr>
      </w:pPr>
      <w:r>
        <w:rPr>
          <w:rFonts w:asciiTheme="minorHAnsi" w:hAnsiTheme="minorHAnsi" w:cstheme="minorHAnsi"/>
          <w:color w:val="C00000"/>
          <w:sz w:val="20"/>
        </w:rPr>
        <w:t>Per gli</w:t>
      </w:r>
      <w:r w:rsidRPr="0066097A">
        <w:rPr>
          <w:rFonts w:asciiTheme="minorHAnsi" w:hAnsiTheme="minorHAnsi" w:cstheme="minorHAnsi"/>
          <w:color w:val="C00000"/>
          <w:sz w:val="20"/>
        </w:rPr>
        <w:t xml:space="preserve"> Enti NON IN PROTOCOLLO DI INTESA la quota di iscrizione a persona è di € </w:t>
      </w:r>
      <w:r w:rsidR="006236DC">
        <w:rPr>
          <w:rFonts w:asciiTheme="minorHAnsi" w:hAnsiTheme="minorHAnsi" w:cstheme="minorHAnsi"/>
          <w:color w:val="C00000"/>
          <w:sz w:val="20"/>
        </w:rPr>
        <w:t>7</w:t>
      </w:r>
      <w:r w:rsidRPr="0066097A">
        <w:rPr>
          <w:rFonts w:asciiTheme="minorHAnsi" w:hAnsiTheme="minorHAnsi" w:cstheme="minorHAnsi"/>
          <w:color w:val="C00000"/>
          <w:sz w:val="20"/>
        </w:rPr>
        <w:t xml:space="preserve">0,00 (si ricorda che per importi superiori a € 77,47 è dovuta anche imposta di bollo di € 2,00 che </w:t>
      </w:r>
      <w:r>
        <w:rPr>
          <w:rFonts w:asciiTheme="minorHAnsi" w:hAnsiTheme="minorHAnsi" w:cstheme="minorHAnsi"/>
          <w:color w:val="C00000"/>
          <w:sz w:val="20"/>
        </w:rPr>
        <w:t xml:space="preserve">verrà addebitata in fattura); </w:t>
      </w:r>
    </w:p>
    <w:p w14:paraId="78EBDD0F" w14:textId="77777777" w:rsidR="0066097A" w:rsidRPr="00A461F2" w:rsidRDefault="0066097A" w:rsidP="00A461F2">
      <w:pPr>
        <w:pStyle w:val="Default"/>
        <w:spacing w:line="360" w:lineRule="auto"/>
        <w:rPr>
          <w:rFonts w:asciiTheme="minorHAnsi" w:eastAsia="Yu Gothic UI Light" w:hAnsiTheme="minorHAnsi" w:cstheme="minorHAnsi"/>
          <w:color w:val="000000" w:themeColor="text1"/>
          <w:sz w:val="20"/>
          <w:szCs w:val="20"/>
        </w:rPr>
      </w:pPr>
      <w:r w:rsidRPr="00A461F2">
        <w:rPr>
          <w:rFonts w:asciiTheme="minorHAnsi" w:eastAsia="Yu Gothic UI Light" w:hAnsiTheme="minorHAnsi" w:cstheme="minorHAnsi"/>
          <w:color w:val="000000" w:themeColor="text1"/>
          <w:sz w:val="20"/>
          <w:szCs w:val="20"/>
          <w:u w:val="single"/>
        </w:rPr>
        <w:t>Gli enti in protocollo di Intesa non sono soggetti al pagamento</w:t>
      </w:r>
      <w:r w:rsidRPr="00A461F2">
        <w:rPr>
          <w:rFonts w:asciiTheme="minorHAnsi" w:eastAsia="Yu Gothic UI Light" w:hAnsiTheme="minorHAnsi" w:cstheme="minorHAnsi"/>
          <w:color w:val="000000" w:themeColor="text1"/>
          <w:sz w:val="20"/>
          <w:szCs w:val="20"/>
        </w:rPr>
        <w:t>. Gli altri enti sono soggetti all’invio di:</w:t>
      </w:r>
    </w:p>
    <w:p w14:paraId="2B06ED89" w14:textId="0D16B699" w:rsidR="0066097A" w:rsidRPr="00A461F2" w:rsidRDefault="0066097A" w:rsidP="00A461F2">
      <w:pPr>
        <w:pStyle w:val="Default"/>
        <w:numPr>
          <w:ilvl w:val="0"/>
          <w:numId w:val="2"/>
        </w:numPr>
        <w:spacing w:line="360" w:lineRule="auto"/>
        <w:rPr>
          <w:rFonts w:asciiTheme="minorHAnsi" w:eastAsia="Yu Gothic UI Light" w:hAnsiTheme="minorHAnsi" w:cstheme="minorHAnsi"/>
          <w:color w:val="000000" w:themeColor="text1"/>
          <w:sz w:val="18"/>
          <w:szCs w:val="20"/>
        </w:rPr>
      </w:pPr>
      <w:r w:rsidRPr="00A461F2">
        <w:rPr>
          <w:rFonts w:asciiTheme="minorHAnsi" w:eastAsia="Yu Gothic UI Light" w:hAnsiTheme="minorHAnsi" w:cstheme="minorHAnsi"/>
          <w:color w:val="000000" w:themeColor="text1"/>
          <w:sz w:val="18"/>
          <w:szCs w:val="20"/>
        </w:rPr>
        <w:t>DETERMINA DI AFFIDAMENTO con codice ufficio e CIG se Dipendenti Enti Locali</w:t>
      </w:r>
    </w:p>
    <w:p w14:paraId="43D366E7" w14:textId="77777777" w:rsidR="0066097A" w:rsidRPr="00A461F2" w:rsidRDefault="0066097A" w:rsidP="00A461F2">
      <w:pPr>
        <w:pStyle w:val="Default"/>
        <w:numPr>
          <w:ilvl w:val="0"/>
          <w:numId w:val="2"/>
        </w:numPr>
        <w:spacing w:line="360" w:lineRule="auto"/>
        <w:rPr>
          <w:rFonts w:asciiTheme="minorHAnsi" w:eastAsia="Yu Gothic UI Light" w:hAnsiTheme="minorHAnsi" w:cstheme="minorHAnsi"/>
          <w:color w:val="000000" w:themeColor="text1"/>
          <w:sz w:val="18"/>
          <w:szCs w:val="20"/>
        </w:rPr>
      </w:pPr>
      <w:r w:rsidRPr="00A461F2">
        <w:rPr>
          <w:rFonts w:asciiTheme="minorHAnsi" w:eastAsia="Yu Gothic UI Light" w:hAnsiTheme="minorHAnsi" w:cstheme="minorHAnsi"/>
          <w:color w:val="000000" w:themeColor="text1"/>
          <w:sz w:val="18"/>
          <w:szCs w:val="20"/>
        </w:rPr>
        <w:t>COPIA DEL BONIFICO BANCARIO se Privati e liberi professionisti</w:t>
      </w:r>
    </w:p>
    <w:p w14:paraId="201F865C" w14:textId="77777777" w:rsidR="0066097A" w:rsidRPr="0066097A" w:rsidRDefault="0066097A" w:rsidP="00A461F2">
      <w:pPr>
        <w:pStyle w:val="Default"/>
        <w:spacing w:line="360" w:lineRule="auto"/>
        <w:rPr>
          <w:rFonts w:asciiTheme="minorHAnsi" w:eastAsia="Yu Gothic UI Light" w:hAnsiTheme="minorHAnsi" w:cstheme="minorHAnsi"/>
          <w:bCs/>
          <w:color w:val="31849B" w:themeColor="accent5" w:themeShade="BF"/>
          <w:sz w:val="18"/>
          <w:szCs w:val="20"/>
        </w:rPr>
      </w:pPr>
      <w:r w:rsidRPr="0066097A">
        <w:rPr>
          <w:rFonts w:asciiTheme="minorHAnsi" w:eastAsia="Yu Gothic UI Light" w:hAnsiTheme="minorHAnsi" w:cstheme="minorHAnsi"/>
          <w:bCs/>
          <w:color w:val="C00000"/>
          <w:sz w:val="20"/>
          <w:szCs w:val="22"/>
        </w:rPr>
        <w:t>MODALITÀ Di PAGAMENTO</w:t>
      </w:r>
      <w:r w:rsidRPr="0066097A">
        <w:rPr>
          <w:rFonts w:asciiTheme="minorHAnsi" w:eastAsia="Yu Gothic UI Light" w:hAnsiTheme="minorHAnsi" w:cstheme="minorHAnsi"/>
          <w:bCs/>
          <w:color w:val="31849B" w:themeColor="accent5" w:themeShade="BF"/>
          <w:sz w:val="18"/>
          <w:szCs w:val="20"/>
        </w:rPr>
        <w:t>:</w:t>
      </w:r>
      <w:r w:rsidRPr="0066097A">
        <w:rPr>
          <w:rFonts w:asciiTheme="minorHAnsi" w:eastAsia="Yu Gothic UI Light" w:hAnsiTheme="minorHAnsi" w:cstheme="minorHAnsi"/>
          <w:b/>
          <w:bCs/>
          <w:color w:val="31849B" w:themeColor="accent5" w:themeShade="BF"/>
          <w:sz w:val="18"/>
          <w:szCs w:val="20"/>
        </w:rPr>
        <w:t xml:space="preserve"> </w:t>
      </w:r>
    </w:p>
    <w:p w14:paraId="7472341C" w14:textId="77777777" w:rsidR="0066097A" w:rsidRPr="00A461F2" w:rsidRDefault="0066097A" w:rsidP="00A461F2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eastAsia="Yu Gothic UI Light" w:hAnsiTheme="minorHAnsi" w:cstheme="minorHAnsi"/>
          <w:color w:val="000000" w:themeColor="text1"/>
          <w:sz w:val="18"/>
          <w:szCs w:val="20"/>
        </w:rPr>
      </w:pPr>
      <w:r w:rsidRPr="00A461F2">
        <w:rPr>
          <w:rFonts w:asciiTheme="minorHAnsi" w:eastAsia="Yu Gothic UI Light" w:hAnsiTheme="minorHAnsi" w:cstheme="minorHAnsi"/>
          <w:bCs/>
          <w:color w:val="000000" w:themeColor="text1"/>
          <w:sz w:val="18"/>
          <w:szCs w:val="20"/>
        </w:rPr>
        <w:t>Per gli enti pubblici giroconto in Banca d'Italia - IBAN:</w:t>
      </w:r>
      <w:r w:rsidRPr="00A461F2">
        <w:rPr>
          <w:rFonts w:asciiTheme="minorHAnsi" w:eastAsia="Yu Gothic UI Light" w:hAnsiTheme="minorHAnsi" w:cstheme="minorHAnsi"/>
          <w:b/>
          <w:bCs/>
          <w:color w:val="000000" w:themeColor="text1"/>
          <w:sz w:val="18"/>
          <w:szCs w:val="20"/>
        </w:rPr>
        <w:t xml:space="preserve"> </w:t>
      </w:r>
      <w:r w:rsidRPr="00A461F2">
        <w:rPr>
          <w:rFonts w:asciiTheme="minorHAnsi" w:eastAsia="Yu Gothic UI Light" w:hAnsiTheme="minorHAnsi" w:cstheme="minorHAnsi"/>
          <w:color w:val="000000" w:themeColor="text1"/>
          <w:sz w:val="18"/>
          <w:szCs w:val="20"/>
        </w:rPr>
        <w:t>IT14R0100003245314300138848</w:t>
      </w:r>
    </w:p>
    <w:p w14:paraId="5C461B51" w14:textId="77777777" w:rsidR="0066097A" w:rsidRPr="00A461F2" w:rsidRDefault="0066097A" w:rsidP="00A461F2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eastAsia="Yu Gothic UI Light" w:hAnsiTheme="minorHAnsi" w:cstheme="minorHAnsi"/>
          <w:color w:val="000000" w:themeColor="text1"/>
          <w:sz w:val="18"/>
          <w:szCs w:val="20"/>
        </w:rPr>
      </w:pPr>
      <w:r w:rsidRPr="00A461F2">
        <w:rPr>
          <w:rFonts w:asciiTheme="minorHAnsi" w:eastAsia="Yu Gothic UI Light" w:hAnsiTheme="minorHAnsi" w:cstheme="minorHAnsi"/>
          <w:bCs/>
          <w:color w:val="000000" w:themeColor="text1"/>
          <w:sz w:val="18"/>
          <w:szCs w:val="20"/>
        </w:rPr>
        <w:t xml:space="preserve">Per Privati Bonifico Bancario </w:t>
      </w:r>
      <w:r w:rsidRPr="00A461F2">
        <w:rPr>
          <w:rFonts w:asciiTheme="minorHAnsi" w:eastAsia="Yu Gothic UI Light" w:hAnsiTheme="minorHAnsi" w:cstheme="minorHAnsi"/>
          <w:color w:val="000000" w:themeColor="text1"/>
          <w:sz w:val="18"/>
          <w:szCs w:val="20"/>
        </w:rPr>
        <w:t xml:space="preserve">presso </w:t>
      </w:r>
      <w:r w:rsidRPr="00A461F2">
        <w:rPr>
          <w:rFonts w:asciiTheme="minorHAnsi" w:eastAsia="Yu Gothic UI Light" w:hAnsiTheme="minorHAnsi" w:cstheme="minorHAnsi"/>
          <w:bCs/>
          <w:color w:val="000000" w:themeColor="text1"/>
          <w:sz w:val="18"/>
          <w:szCs w:val="20"/>
        </w:rPr>
        <w:t>INTESA SAN PAOLO SPA - IBAN: IT96C0306970241000100046099</w:t>
      </w:r>
    </w:p>
    <w:p w14:paraId="0892EA17" w14:textId="77777777" w:rsidR="0066097A" w:rsidRPr="00A461F2" w:rsidRDefault="0066097A" w:rsidP="00A461F2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eastAsia="Yu Gothic UI Light" w:hAnsiTheme="minorHAnsi" w:cstheme="minorHAnsi"/>
          <w:color w:val="000000" w:themeColor="text1"/>
          <w:sz w:val="12"/>
          <w:szCs w:val="12"/>
        </w:rPr>
      </w:pPr>
      <w:r w:rsidRPr="00A461F2">
        <w:rPr>
          <w:rFonts w:asciiTheme="minorHAnsi" w:eastAsia="Yu Gothic UI Light" w:hAnsiTheme="minorHAnsi" w:cstheme="minorHAnsi"/>
          <w:color w:val="000000" w:themeColor="text1"/>
          <w:sz w:val="20"/>
          <w:szCs w:val="20"/>
        </w:rPr>
        <w:t>I corsi a catalogo non sono configurabili come appalti di servizi: pertanto per il loro acquisto non è necessario transitare dalle Centrali di Committenza (nazionali o regionali), né è prevista la richiesta del CIG. (v. paragrafo 3.9 della Determinazione dell’AVCP n. 4 del 7 luglio 2011). https://www.anticorruzione.it/documents/91439/121138/ Determina_Tracciabilita_n.4_08072011.pdf/85f54028-ace4-f075-c2f6- 41ba53bce7e</w:t>
      </w:r>
      <w:proofErr w:type="gramStart"/>
      <w:r w:rsidRPr="00A461F2">
        <w:rPr>
          <w:rFonts w:asciiTheme="minorHAnsi" w:eastAsia="Yu Gothic UI Light" w:hAnsiTheme="minorHAnsi" w:cstheme="minorHAnsi"/>
          <w:color w:val="000000" w:themeColor="text1"/>
          <w:sz w:val="20"/>
          <w:szCs w:val="20"/>
        </w:rPr>
        <w:t>4?t</w:t>
      </w:r>
      <w:proofErr w:type="gramEnd"/>
      <w:r w:rsidRPr="00A461F2">
        <w:rPr>
          <w:rFonts w:asciiTheme="minorHAnsi" w:eastAsia="Yu Gothic UI Light" w:hAnsiTheme="minorHAnsi" w:cstheme="minorHAnsi"/>
          <w:color w:val="000000" w:themeColor="text1"/>
          <w:sz w:val="20"/>
          <w:szCs w:val="20"/>
        </w:rPr>
        <w:t>=158817003422</w:t>
      </w:r>
    </w:p>
    <w:p w14:paraId="072B2AE8" w14:textId="6B51C812" w:rsidR="0066097A" w:rsidRPr="0066097A" w:rsidRDefault="0066097A" w:rsidP="00A461F2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eastAsia="Yu Gothic UI Light" w:hAnsiTheme="minorHAnsi" w:cstheme="minorHAnsi"/>
          <w:color w:val="31849B" w:themeColor="accent5" w:themeShade="BF"/>
          <w:sz w:val="8"/>
          <w:szCs w:val="8"/>
        </w:rPr>
      </w:pPr>
      <w:r w:rsidRPr="00A461F2">
        <w:rPr>
          <w:rFonts w:asciiTheme="minorHAnsi" w:eastAsia="Yu Gothic UI Light" w:hAnsiTheme="minorHAnsi" w:cstheme="minorHAnsi"/>
          <w:color w:val="000000" w:themeColor="text1"/>
          <w:sz w:val="20"/>
          <w:szCs w:val="22"/>
        </w:rPr>
        <w:t>Causale: titolo e data corso</w:t>
      </w:r>
    </w:p>
    <w:p w14:paraId="23C976B6" w14:textId="2126A4C3" w:rsidR="0066097A" w:rsidRPr="0066097A" w:rsidRDefault="0066097A" w:rsidP="00A461F2">
      <w:pPr>
        <w:pStyle w:val="NormaleWeb"/>
        <w:spacing w:before="0" w:beforeAutospacing="0" w:after="0" w:afterAutospacing="0" w:line="360" w:lineRule="auto"/>
        <w:rPr>
          <w:rFonts w:asciiTheme="minorHAnsi" w:eastAsia="Yu Gothic UI Light" w:hAnsiTheme="minorHAnsi" w:cstheme="minorHAnsi"/>
          <w:color w:val="C00000"/>
          <w:sz w:val="18"/>
          <w:szCs w:val="20"/>
        </w:rPr>
      </w:pPr>
      <w:r w:rsidRPr="0066097A">
        <w:rPr>
          <w:rFonts w:asciiTheme="minorHAnsi" w:hAnsiTheme="minorHAnsi" w:cstheme="minorHAnsi"/>
          <w:color w:val="C00000"/>
          <w:sz w:val="18"/>
          <w:szCs w:val="20"/>
        </w:rPr>
        <w:t xml:space="preserve">RILASCIO ATTESTATO: Verrà rilasciato attestazione di frequenza a chi supererà l’80% di presenza. </w:t>
      </w:r>
    </w:p>
    <w:p w14:paraId="3B755067" w14:textId="38B7DDDD" w:rsidR="0066097A" w:rsidRPr="0066097A" w:rsidRDefault="0066097A" w:rsidP="00A461F2">
      <w:pPr>
        <w:pStyle w:val="NormaleWeb"/>
        <w:spacing w:before="0" w:beforeAutospacing="0" w:after="0" w:afterAutospacing="0" w:line="360" w:lineRule="auto"/>
        <w:rPr>
          <w:rFonts w:asciiTheme="minorHAnsi" w:eastAsia="Yu Gothic UI Light" w:hAnsiTheme="minorHAnsi" w:cstheme="minorHAnsi"/>
          <w:color w:val="C00000"/>
          <w:sz w:val="2"/>
          <w:szCs w:val="8"/>
        </w:rPr>
      </w:pPr>
      <w:r w:rsidRPr="0066097A">
        <w:rPr>
          <w:rFonts w:asciiTheme="minorHAnsi" w:hAnsiTheme="minorHAnsi" w:cstheme="minorHAnsi"/>
          <w:color w:val="C00000"/>
          <w:sz w:val="18"/>
          <w:szCs w:val="20"/>
        </w:rPr>
        <w:t xml:space="preserve">MODALITÀ DI DISDETTA: </w:t>
      </w:r>
      <w:r w:rsidRPr="00A461F2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In caso di disdetta di partecipazione dovrà essere </w:t>
      </w:r>
      <w:r w:rsidR="00A461F2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fatta </w:t>
      </w:r>
      <w:r w:rsidRPr="00A461F2">
        <w:rPr>
          <w:rFonts w:asciiTheme="minorHAnsi" w:hAnsiTheme="minorHAnsi" w:cstheme="minorHAnsi"/>
          <w:color w:val="000000" w:themeColor="text1"/>
          <w:sz w:val="18"/>
          <w:szCs w:val="20"/>
        </w:rPr>
        <w:t>comunic</w:t>
      </w:r>
      <w:r w:rsidR="00A461F2">
        <w:rPr>
          <w:rFonts w:asciiTheme="minorHAnsi" w:hAnsiTheme="minorHAnsi" w:cstheme="minorHAnsi"/>
          <w:color w:val="000000" w:themeColor="text1"/>
          <w:sz w:val="18"/>
          <w:szCs w:val="20"/>
        </w:rPr>
        <w:t>azione</w:t>
      </w:r>
      <w:r w:rsidRPr="00A461F2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in forma scritta (e-mail) alla Segreteria entro cinque giorni </w:t>
      </w:r>
      <w:r w:rsidR="00A461F2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dalla data </w:t>
      </w:r>
      <w:proofErr w:type="spellStart"/>
      <w:r w:rsidR="00A461F2">
        <w:rPr>
          <w:rFonts w:asciiTheme="minorHAnsi" w:hAnsiTheme="minorHAnsi" w:cstheme="minorHAnsi"/>
          <w:color w:val="000000" w:themeColor="text1"/>
          <w:sz w:val="18"/>
          <w:szCs w:val="20"/>
        </w:rPr>
        <w:t>del</w:t>
      </w:r>
      <w:r w:rsidRPr="00A461F2">
        <w:rPr>
          <w:rFonts w:asciiTheme="minorHAnsi" w:hAnsiTheme="minorHAnsi" w:cstheme="minorHAnsi"/>
          <w:color w:val="000000" w:themeColor="text1"/>
          <w:sz w:val="18"/>
          <w:szCs w:val="20"/>
        </w:rPr>
        <w:t>l</w:t>
      </w:r>
      <w:proofErr w:type="spellEnd"/>
      <w:r w:rsidRPr="00A461F2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corso; oltre questo termine, è prevista la fatturazione dell’intera quota</w:t>
      </w:r>
      <w:r w:rsidRPr="00A461F2">
        <w:rPr>
          <w:rFonts w:asciiTheme="minorHAnsi" w:hAnsiTheme="minorHAnsi" w:cstheme="minorHAnsi"/>
          <w:color w:val="000000" w:themeColor="text1"/>
          <w:sz w:val="18"/>
        </w:rPr>
        <w:t>.</w:t>
      </w:r>
    </w:p>
    <w:p w14:paraId="1E19C2C0" w14:textId="77777777" w:rsidR="0066097A" w:rsidRPr="0066097A" w:rsidRDefault="0066097A" w:rsidP="00A461F2">
      <w:pPr>
        <w:autoSpaceDE w:val="0"/>
        <w:autoSpaceDN w:val="0"/>
        <w:adjustRightInd w:val="0"/>
        <w:spacing w:after="0" w:line="360" w:lineRule="auto"/>
        <w:rPr>
          <w:rFonts w:eastAsia="Yu Gothic UI Light" w:cstheme="minorHAnsi"/>
          <w:noProof/>
          <w:sz w:val="20"/>
          <w:szCs w:val="20"/>
        </w:rPr>
      </w:pPr>
      <w:r w:rsidRPr="0066097A">
        <w:rPr>
          <w:rFonts w:eastAsia="Yu Gothic UI Light" w:cstheme="minorHAnsi"/>
          <w:bCs/>
          <w:color w:val="C00000"/>
          <w:sz w:val="20"/>
          <w:szCs w:val="20"/>
        </w:rPr>
        <w:t xml:space="preserve">CONTATTI: </w:t>
      </w:r>
      <w:r w:rsidRPr="0066097A">
        <w:rPr>
          <w:rFonts w:eastAsia="Yu Gothic UI Light" w:cstheme="minorHAnsi"/>
          <w:bCs/>
          <w:color w:val="C00000"/>
          <w:sz w:val="18"/>
          <w:szCs w:val="18"/>
        </w:rPr>
        <w:t xml:space="preserve">SERVIZIO FORMAZIONE UNIONE DEI COMUNI DELLA VERSILIA </w:t>
      </w:r>
      <w:r w:rsidRPr="00A461F2">
        <w:rPr>
          <w:rFonts w:eastAsia="Yu Gothic UI Light" w:cstheme="minorHAnsi"/>
          <w:color w:val="000000" w:themeColor="text1"/>
          <w:sz w:val="18"/>
          <w:szCs w:val="18"/>
        </w:rPr>
        <w:t>Via Delle Contrade, 200 Querceta Seravezza LU, P. IVA 02146200460,</w:t>
      </w:r>
      <w:r w:rsidRPr="00A461F2">
        <w:rPr>
          <w:rFonts w:eastAsia="Yu Gothic UI Light" w:cstheme="minorHAnsi"/>
          <w:b/>
          <w:color w:val="000000" w:themeColor="text1"/>
          <w:sz w:val="18"/>
          <w:szCs w:val="18"/>
        </w:rPr>
        <w:t xml:space="preserve"> </w:t>
      </w:r>
      <w:r w:rsidRPr="00A461F2">
        <w:rPr>
          <w:rFonts w:eastAsia="Yu Gothic UI Light" w:cstheme="minorHAnsi"/>
          <w:noProof/>
          <w:color w:val="000000" w:themeColor="text1"/>
          <w:sz w:val="18"/>
          <w:szCs w:val="18"/>
        </w:rPr>
        <w:t xml:space="preserve">Tel.: 0584/1855336 – mob. 3406783009 </w:t>
      </w:r>
      <w:hyperlink r:id="rId7" w:history="1">
        <w:r w:rsidRPr="0066097A">
          <w:rPr>
            <w:rStyle w:val="Collegamentoipertestuale"/>
            <w:rFonts w:eastAsia="Yu Gothic UI Light" w:cstheme="minorHAnsi"/>
            <w:noProof/>
            <w:sz w:val="20"/>
            <w:szCs w:val="20"/>
          </w:rPr>
          <w:t>formazione@ucversilia.it</w:t>
        </w:r>
      </w:hyperlink>
    </w:p>
    <w:p w14:paraId="5D5109A1" w14:textId="77777777" w:rsidR="0066097A" w:rsidRPr="0066097A" w:rsidRDefault="0066097A" w:rsidP="00A461F2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color w:val="C00000"/>
          <w:sz w:val="20"/>
          <w:szCs w:val="40"/>
        </w:rPr>
      </w:pPr>
    </w:p>
    <w:p w14:paraId="08EB4314" w14:textId="77777777" w:rsidR="0066097A" w:rsidRPr="0066097A" w:rsidRDefault="0066097A" w:rsidP="00A461F2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color w:val="C00000"/>
          <w:sz w:val="20"/>
          <w:szCs w:val="40"/>
        </w:rPr>
      </w:pPr>
    </w:p>
    <w:p w14:paraId="447904B9" w14:textId="77777777" w:rsidR="0066097A" w:rsidRPr="0066097A" w:rsidRDefault="0066097A" w:rsidP="006609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C00000"/>
          <w:sz w:val="20"/>
          <w:szCs w:val="40"/>
        </w:rPr>
      </w:pPr>
    </w:p>
    <w:p w14:paraId="4F59AF9F" w14:textId="165D676C" w:rsidR="0066097A" w:rsidRDefault="0066097A" w:rsidP="0066097A">
      <w:pPr>
        <w:spacing w:after="20"/>
        <w:jc w:val="both"/>
        <w:rPr>
          <w:rFonts w:ascii="Arial" w:hAnsi="Arial" w:cs="Arial"/>
          <w:b/>
          <w:sz w:val="26"/>
          <w:szCs w:val="26"/>
        </w:rPr>
      </w:pPr>
    </w:p>
    <w:p w14:paraId="3EB34493" w14:textId="77777777" w:rsidR="0066097A" w:rsidRDefault="0066097A" w:rsidP="0066097A">
      <w:pPr>
        <w:spacing w:after="20"/>
        <w:jc w:val="both"/>
        <w:rPr>
          <w:rFonts w:ascii="Arial" w:hAnsi="Arial" w:cs="Arial"/>
          <w:sz w:val="26"/>
          <w:szCs w:val="26"/>
        </w:rPr>
      </w:pPr>
    </w:p>
    <w:p w14:paraId="7E5A7EC2" w14:textId="1317389C" w:rsidR="0066097A" w:rsidRDefault="0066097A" w:rsidP="0066097A">
      <w:pPr>
        <w:spacing w:after="20"/>
        <w:jc w:val="both"/>
        <w:rPr>
          <w:rFonts w:ascii="Arial" w:hAnsi="Arial" w:cs="Arial"/>
          <w:sz w:val="26"/>
          <w:szCs w:val="26"/>
          <w:shd w:val="clear" w:color="auto" w:fill="F8F8F8"/>
        </w:rPr>
      </w:pPr>
      <w:r>
        <w:rPr>
          <w:rFonts w:ascii="Arial" w:hAnsi="Arial" w:cs="Arial"/>
          <w:sz w:val="26"/>
          <w:szCs w:val="26"/>
          <w:shd w:val="clear" w:color="auto" w:fill="F8F8F8"/>
        </w:rPr>
        <w:t xml:space="preserve"> </w:t>
      </w:r>
    </w:p>
    <w:p w14:paraId="669F9135" w14:textId="2C0E4AAF" w:rsidR="00382674" w:rsidRDefault="0066097A" w:rsidP="0066097A">
      <w:pPr>
        <w:jc w:val="both"/>
        <w:rPr>
          <w:rFonts w:ascii="Gill Sans MT Condensed" w:eastAsia="Times New Roman" w:hAnsi="Gill Sans MT Condensed"/>
          <w:color w:val="C00000"/>
          <w:sz w:val="20"/>
          <w:szCs w:val="40"/>
        </w:rPr>
      </w:pPr>
      <w:r>
        <w:rPr>
          <w:rFonts w:ascii="Arial" w:hAnsi="Arial" w:cs="Arial"/>
          <w:sz w:val="26"/>
          <w:szCs w:val="26"/>
        </w:rPr>
        <w:br/>
      </w:r>
    </w:p>
    <w:p w14:paraId="260F7E2F" w14:textId="7E3194C8" w:rsidR="00382674" w:rsidRDefault="00382674" w:rsidP="00E41370">
      <w:pPr>
        <w:autoSpaceDE w:val="0"/>
        <w:autoSpaceDN w:val="0"/>
        <w:adjustRightInd w:val="0"/>
        <w:spacing w:after="0"/>
        <w:rPr>
          <w:rFonts w:ascii="Yu Gothic UI Light" w:eastAsia="Yu Gothic UI Light" w:hAnsi="Yu Gothic UI Light" w:cs="Poppins"/>
          <w:color w:val="000000" w:themeColor="text1"/>
          <w:sz w:val="18"/>
        </w:rPr>
      </w:pPr>
    </w:p>
    <w:sectPr w:rsidR="00382674" w:rsidSect="002C6C8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DE27" w14:textId="77777777" w:rsidR="005F4B58" w:rsidRDefault="005F4B58" w:rsidP="009D49C4">
      <w:pPr>
        <w:spacing w:after="0" w:line="240" w:lineRule="auto"/>
      </w:pPr>
      <w:r>
        <w:separator/>
      </w:r>
    </w:p>
  </w:endnote>
  <w:endnote w:type="continuationSeparator" w:id="0">
    <w:p w14:paraId="5D981869" w14:textId="77777777" w:rsidR="005F4B58" w:rsidRDefault="005F4B58" w:rsidP="009D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Condensed">
    <w:altName w:val="DejaVu Sans Condensed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E0461" w14:textId="13C7CA0B" w:rsidR="002D5FBB" w:rsidRPr="00C208BD" w:rsidRDefault="002D5FBB" w:rsidP="002D5FBB">
    <w:pPr>
      <w:spacing w:after="0" w:line="240" w:lineRule="auto"/>
      <w:jc w:val="center"/>
      <w:rPr>
        <w:rFonts w:ascii="Gill Sans MT Condensed" w:hAnsi="Gill Sans MT Condensed" w:cs="Arial"/>
        <w:color w:val="000000"/>
        <w:sz w:val="14"/>
        <w:szCs w:val="20"/>
      </w:rPr>
    </w:pPr>
    <w:r w:rsidRPr="00C208BD">
      <w:rPr>
        <w:rFonts w:ascii="Gill Sans MT Condensed" w:hAnsi="Gill Sans MT Condensed" w:cs="Arial"/>
        <w:color w:val="000000"/>
        <w:sz w:val="14"/>
        <w:szCs w:val="20"/>
      </w:rPr>
      <w:t xml:space="preserve">UNIONE DEI COMUNI DELLA VERSILIA </w:t>
    </w:r>
    <w:r w:rsidR="003309E3" w:rsidRPr="00C208BD">
      <w:rPr>
        <w:rFonts w:ascii="Gill Sans MT Condensed" w:hAnsi="Gill Sans MT Condensed" w:cs="Arial"/>
        <w:color w:val="000000"/>
        <w:sz w:val="14"/>
        <w:szCs w:val="20"/>
      </w:rPr>
      <w:t>UFFICIO FORMAZIONE</w:t>
    </w:r>
  </w:p>
  <w:p w14:paraId="6DFACD1C" w14:textId="29A368D0" w:rsidR="002D5FBB" w:rsidRPr="00C208BD" w:rsidRDefault="002D5FBB" w:rsidP="002D5FBB">
    <w:pPr>
      <w:spacing w:after="0" w:line="240" w:lineRule="auto"/>
      <w:jc w:val="center"/>
      <w:rPr>
        <w:rFonts w:ascii="Gill Sans MT Condensed" w:hAnsi="Gill Sans MT Condensed" w:cs="Arial"/>
        <w:color w:val="000000"/>
        <w:sz w:val="14"/>
        <w:szCs w:val="20"/>
      </w:rPr>
    </w:pPr>
    <w:r w:rsidRPr="00C208BD">
      <w:rPr>
        <w:rFonts w:ascii="Gill Sans MT Condensed" w:hAnsi="Gill Sans MT Condensed" w:cs="Arial"/>
        <w:color w:val="000000"/>
        <w:sz w:val="14"/>
        <w:szCs w:val="20"/>
      </w:rPr>
      <w:t>Via Delle Contrade, 200 Querceta Seravezza LU</w:t>
    </w:r>
    <w:r w:rsidR="003309E3" w:rsidRPr="00C208BD">
      <w:rPr>
        <w:rFonts w:ascii="Gill Sans MT" w:hAnsi="Gill Sans MT" w:cstheme="minorHAnsi"/>
        <w:sz w:val="10"/>
        <w:szCs w:val="16"/>
      </w:rPr>
      <w:t xml:space="preserve"> P. IVA 02146200460</w:t>
    </w:r>
    <w:r w:rsidRPr="00C208BD">
      <w:rPr>
        <w:rFonts w:ascii="Gill Sans MT Condensed" w:hAnsi="Gill Sans MT Condensed" w:cs="Arial"/>
        <w:color w:val="000000"/>
        <w:sz w:val="14"/>
        <w:szCs w:val="20"/>
      </w:rPr>
      <w:t xml:space="preserve"> </w:t>
    </w:r>
    <w:r w:rsidRPr="00C208BD">
      <w:rPr>
        <w:rFonts w:ascii="Gill Sans MT Condensed" w:eastAsia="Times New Roman" w:hAnsi="Gill Sans MT Condensed" w:cs="Arial"/>
        <w:noProof/>
        <w:color w:val="000000"/>
        <w:sz w:val="12"/>
        <w:szCs w:val="18"/>
        <w:lang w:eastAsia="it-IT"/>
      </w:rPr>
      <w:t>Tel.: 0584</w:t>
    </w:r>
    <w:r w:rsidR="003309E3" w:rsidRPr="00C208BD">
      <w:rPr>
        <w:rFonts w:ascii="Gill Sans MT Condensed" w:eastAsia="Times New Roman" w:hAnsi="Gill Sans MT Condensed" w:cs="Arial"/>
        <w:noProof/>
        <w:color w:val="000000"/>
        <w:sz w:val="12"/>
        <w:szCs w:val="18"/>
        <w:lang w:eastAsia="it-IT"/>
      </w:rPr>
      <w:t>/</w:t>
    </w:r>
    <w:r w:rsidRPr="00C208BD">
      <w:rPr>
        <w:rFonts w:ascii="Gill Sans MT Condensed" w:eastAsia="Times New Roman" w:hAnsi="Gill Sans MT Condensed" w:cs="Arial"/>
        <w:noProof/>
        <w:color w:val="000000"/>
        <w:sz w:val="12"/>
        <w:szCs w:val="18"/>
        <w:lang w:eastAsia="it-IT"/>
      </w:rPr>
      <w:t xml:space="preserve">1855336 Email: </w:t>
    </w:r>
    <w:r w:rsidRPr="00C208BD">
      <w:rPr>
        <w:rFonts w:ascii="Gill Sans MT Condensed" w:eastAsia="Times New Roman" w:hAnsi="Gill Sans MT Condensed" w:cs="Arial"/>
        <w:noProof/>
        <w:color w:val="0070C0"/>
        <w:sz w:val="12"/>
        <w:szCs w:val="18"/>
        <w:lang w:eastAsia="it-IT"/>
      </w:rPr>
      <w:t>formazione@ucversilia.it</w:t>
    </w:r>
  </w:p>
  <w:p w14:paraId="499B9D23" w14:textId="77777777" w:rsidR="002D5FBB" w:rsidRDefault="002D5FBB" w:rsidP="002D5FBB">
    <w:pPr>
      <w:pStyle w:val="Pidipagina"/>
    </w:pPr>
  </w:p>
  <w:p w14:paraId="71E82C31" w14:textId="77777777" w:rsidR="002D5FBB" w:rsidRDefault="002D5F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3A7D5" w14:textId="77777777" w:rsidR="005F4B58" w:rsidRDefault="005F4B58" w:rsidP="009D49C4">
      <w:pPr>
        <w:spacing w:after="0" w:line="240" w:lineRule="auto"/>
      </w:pPr>
      <w:r>
        <w:separator/>
      </w:r>
    </w:p>
  </w:footnote>
  <w:footnote w:type="continuationSeparator" w:id="0">
    <w:p w14:paraId="4A8A30AD" w14:textId="77777777" w:rsidR="005F4B58" w:rsidRDefault="005F4B58" w:rsidP="009D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9021" w14:textId="4C1C7DD7" w:rsidR="00CB367B" w:rsidRDefault="00CB367B" w:rsidP="00C93605">
    <w:pPr>
      <w:autoSpaceDE w:val="0"/>
      <w:autoSpaceDN w:val="0"/>
      <w:adjustRightInd w:val="0"/>
      <w:spacing w:after="0" w:line="240" w:lineRule="auto"/>
      <w:ind w:right="-75"/>
      <w:jc w:val="center"/>
    </w:pPr>
    <w:r w:rsidRPr="00F26200">
      <w:rPr>
        <w:rFonts w:cs="Calibri"/>
        <w:noProof/>
        <w:sz w:val="18"/>
        <w:szCs w:val="18"/>
        <w:lang w:eastAsia="it-IT"/>
      </w:rPr>
      <w:drawing>
        <wp:inline distT="0" distB="0" distL="0" distR="0" wp14:anchorId="0E4B503F" wp14:editId="7A522BE4">
          <wp:extent cx="819150" cy="620829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20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6200">
      <w:rPr>
        <w:bCs/>
        <w:smallCaps/>
        <w:color w:val="0F243E" w:themeColor="text2" w:themeShade="80"/>
        <w:sz w:val="18"/>
        <w:szCs w:val="18"/>
      </w:rPr>
      <w:t xml:space="preserve"> </w:t>
    </w:r>
    <w:r w:rsidR="00C93605" w:rsidRPr="00C93605">
      <w:rPr>
        <w:bCs/>
        <w:color w:val="0F243E" w:themeColor="text2" w:themeShade="80"/>
        <w:sz w:val="18"/>
        <w:szCs w:val="18"/>
      </w:rPr>
      <w:t>UNIONE DEI COMUNI DELLA VERSILIA</w:t>
    </w:r>
    <w:r w:rsidR="00C93605">
      <w:rPr>
        <w:bCs/>
        <w:smallCaps/>
        <w:color w:val="0F243E" w:themeColor="text2" w:themeShade="80"/>
        <w:sz w:val="18"/>
        <w:szCs w:val="18"/>
      </w:rPr>
      <w:t xml:space="preserve"> SERVIZIO FORMAZIONE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0.95pt;height:10.95pt" o:bullet="t">
        <v:imagedata r:id="rId1" o:title="j0115834"/>
      </v:shape>
    </w:pict>
  </w:numPicBullet>
  <w:abstractNum w:abstractNumId="0" w15:restartNumberingAfterBreak="0">
    <w:nsid w:val="00EF10AB"/>
    <w:multiLevelType w:val="hybridMultilevel"/>
    <w:tmpl w:val="28269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63F"/>
    <w:multiLevelType w:val="hybridMultilevel"/>
    <w:tmpl w:val="12EE8BA8"/>
    <w:lvl w:ilvl="0" w:tplc="E9DC5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327"/>
    <w:multiLevelType w:val="hybridMultilevel"/>
    <w:tmpl w:val="6B866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142B"/>
    <w:multiLevelType w:val="hybridMultilevel"/>
    <w:tmpl w:val="D2E8A6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7066"/>
    <w:multiLevelType w:val="hybridMultilevel"/>
    <w:tmpl w:val="9B2677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A9F"/>
    <w:multiLevelType w:val="hybridMultilevel"/>
    <w:tmpl w:val="D9D2F9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209D"/>
    <w:multiLevelType w:val="hybridMultilevel"/>
    <w:tmpl w:val="A7C6BF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2678"/>
    <w:multiLevelType w:val="hybridMultilevel"/>
    <w:tmpl w:val="227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33B"/>
    <w:multiLevelType w:val="hybridMultilevel"/>
    <w:tmpl w:val="40A6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077AC">
      <w:numFmt w:val="bullet"/>
      <w:lvlText w:val="•"/>
      <w:lvlJc w:val="left"/>
      <w:pPr>
        <w:ind w:left="1520" w:hanging="440"/>
      </w:pPr>
      <w:rPr>
        <w:rFonts w:ascii="Gill Sans MT Condensed" w:eastAsiaTheme="minorHAnsi" w:hAnsi="Gill Sans MT Condense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3718"/>
    <w:multiLevelType w:val="hybridMultilevel"/>
    <w:tmpl w:val="7EF60A0E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3FAD1D0C"/>
    <w:multiLevelType w:val="hybridMultilevel"/>
    <w:tmpl w:val="0250EF94"/>
    <w:lvl w:ilvl="0" w:tplc="A1024C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272B6"/>
    <w:multiLevelType w:val="hybridMultilevel"/>
    <w:tmpl w:val="B1626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43511"/>
    <w:multiLevelType w:val="hybridMultilevel"/>
    <w:tmpl w:val="2EF4A6D6"/>
    <w:lvl w:ilvl="0" w:tplc="7D5234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C1398"/>
    <w:multiLevelType w:val="hybridMultilevel"/>
    <w:tmpl w:val="61603F16"/>
    <w:lvl w:ilvl="0" w:tplc="7D5234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4215F"/>
    <w:multiLevelType w:val="hybridMultilevel"/>
    <w:tmpl w:val="2D7EAD10"/>
    <w:lvl w:ilvl="0" w:tplc="7D5234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4585"/>
    <w:multiLevelType w:val="hybridMultilevel"/>
    <w:tmpl w:val="82E87692"/>
    <w:lvl w:ilvl="0" w:tplc="5EEAA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23073"/>
    <w:multiLevelType w:val="hybridMultilevel"/>
    <w:tmpl w:val="DAFCAD34"/>
    <w:lvl w:ilvl="0" w:tplc="7D5234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50F77"/>
    <w:multiLevelType w:val="hybridMultilevel"/>
    <w:tmpl w:val="D7CC3814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6F9B61BE"/>
    <w:multiLevelType w:val="hybridMultilevel"/>
    <w:tmpl w:val="E2846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7"/>
  </w:num>
  <w:num w:numId="5">
    <w:abstractNumId w:val="1"/>
  </w:num>
  <w:num w:numId="6">
    <w:abstractNumId w:val="15"/>
  </w:num>
  <w:num w:numId="7">
    <w:abstractNumId w:val="12"/>
  </w:num>
  <w:num w:numId="8">
    <w:abstractNumId w:val="16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18"/>
  </w:num>
  <w:num w:numId="14">
    <w:abstractNumId w:val="4"/>
  </w:num>
  <w:num w:numId="15">
    <w:abstractNumId w:val="5"/>
  </w:num>
  <w:num w:numId="16">
    <w:abstractNumId w:val="11"/>
  </w:num>
  <w:num w:numId="17">
    <w:abstractNumId w:val="9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56"/>
    <w:rsid w:val="00003F28"/>
    <w:rsid w:val="000470CD"/>
    <w:rsid w:val="00062EA9"/>
    <w:rsid w:val="00077A60"/>
    <w:rsid w:val="000912FD"/>
    <w:rsid w:val="00095341"/>
    <w:rsid w:val="000A7173"/>
    <w:rsid w:val="000C3487"/>
    <w:rsid w:val="000D611C"/>
    <w:rsid w:val="000E16F4"/>
    <w:rsid w:val="000F2E2D"/>
    <w:rsid w:val="00102CE6"/>
    <w:rsid w:val="00167357"/>
    <w:rsid w:val="00177D58"/>
    <w:rsid w:val="001A3CF5"/>
    <w:rsid w:val="001C582E"/>
    <w:rsid w:val="001D6B06"/>
    <w:rsid w:val="001F2E32"/>
    <w:rsid w:val="001F66F0"/>
    <w:rsid w:val="00205E0B"/>
    <w:rsid w:val="002B7D45"/>
    <w:rsid w:val="002C2413"/>
    <w:rsid w:val="002C6C87"/>
    <w:rsid w:val="002D5FBB"/>
    <w:rsid w:val="002F2A38"/>
    <w:rsid w:val="002F4B92"/>
    <w:rsid w:val="003068D3"/>
    <w:rsid w:val="00316294"/>
    <w:rsid w:val="003309E3"/>
    <w:rsid w:val="003317CE"/>
    <w:rsid w:val="00362DFC"/>
    <w:rsid w:val="003727E0"/>
    <w:rsid w:val="00372D32"/>
    <w:rsid w:val="00373460"/>
    <w:rsid w:val="00382674"/>
    <w:rsid w:val="00390563"/>
    <w:rsid w:val="003B6F1B"/>
    <w:rsid w:val="003D3918"/>
    <w:rsid w:val="00444D31"/>
    <w:rsid w:val="004714BF"/>
    <w:rsid w:val="00476513"/>
    <w:rsid w:val="004A6725"/>
    <w:rsid w:val="004C775B"/>
    <w:rsid w:val="004E649B"/>
    <w:rsid w:val="00521E3B"/>
    <w:rsid w:val="00544C12"/>
    <w:rsid w:val="0057534A"/>
    <w:rsid w:val="00576A88"/>
    <w:rsid w:val="00590092"/>
    <w:rsid w:val="005C1F4D"/>
    <w:rsid w:val="005E30FC"/>
    <w:rsid w:val="005F4B58"/>
    <w:rsid w:val="005F64BD"/>
    <w:rsid w:val="00601E80"/>
    <w:rsid w:val="0061062A"/>
    <w:rsid w:val="006236DC"/>
    <w:rsid w:val="00645143"/>
    <w:rsid w:val="0066097A"/>
    <w:rsid w:val="00677945"/>
    <w:rsid w:val="00687F23"/>
    <w:rsid w:val="006927DB"/>
    <w:rsid w:val="00696F22"/>
    <w:rsid w:val="006C272B"/>
    <w:rsid w:val="006D64FE"/>
    <w:rsid w:val="006E68C2"/>
    <w:rsid w:val="0070780F"/>
    <w:rsid w:val="00713FBC"/>
    <w:rsid w:val="007155F9"/>
    <w:rsid w:val="00727377"/>
    <w:rsid w:val="0074395A"/>
    <w:rsid w:val="007441E6"/>
    <w:rsid w:val="00753B82"/>
    <w:rsid w:val="007B0E32"/>
    <w:rsid w:val="007E026D"/>
    <w:rsid w:val="00810CAB"/>
    <w:rsid w:val="00831CDD"/>
    <w:rsid w:val="00853456"/>
    <w:rsid w:val="008B155F"/>
    <w:rsid w:val="008C2403"/>
    <w:rsid w:val="00905934"/>
    <w:rsid w:val="00910802"/>
    <w:rsid w:val="00910E11"/>
    <w:rsid w:val="00913220"/>
    <w:rsid w:val="00956A06"/>
    <w:rsid w:val="00962C3D"/>
    <w:rsid w:val="009B665A"/>
    <w:rsid w:val="009D49C4"/>
    <w:rsid w:val="00A11079"/>
    <w:rsid w:val="00A14276"/>
    <w:rsid w:val="00A461F2"/>
    <w:rsid w:val="00A468E4"/>
    <w:rsid w:val="00A67C4D"/>
    <w:rsid w:val="00A82B12"/>
    <w:rsid w:val="00AB735E"/>
    <w:rsid w:val="00AD1C26"/>
    <w:rsid w:val="00AD2D68"/>
    <w:rsid w:val="00AE3DCB"/>
    <w:rsid w:val="00AF4EC6"/>
    <w:rsid w:val="00B22737"/>
    <w:rsid w:val="00B5167F"/>
    <w:rsid w:val="00BB25AF"/>
    <w:rsid w:val="00BD0B5E"/>
    <w:rsid w:val="00BD3DF9"/>
    <w:rsid w:val="00BE2358"/>
    <w:rsid w:val="00BE3182"/>
    <w:rsid w:val="00BE5E9D"/>
    <w:rsid w:val="00C022AB"/>
    <w:rsid w:val="00C208BD"/>
    <w:rsid w:val="00C23BC8"/>
    <w:rsid w:val="00C65F7B"/>
    <w:rsid w:val="00C93605"/>
    <w:rsid w:val="00CB367B"/>
    <w:rsid w:val="00CE228C"/>
    <w:rsid w:val="00D45C19"/>
    <w:rsid w:val="00D47136"/>
    <w:rsid w:val="00D615C5"/>
    <w:rsid w:val="00D957CD"/>
    <w:rsid w:val="00D95A57"/>
    <w:rsid w:val="00DC3736"/>
    <w:rsid w:val="00DF544E"/>
    <w:rsid w:val="00E21B65"/>
    <w:rsid w:val="00E41370"/>
    <w:rsid w:val="00E442A5"/>
    <w:rsid w:val="00E545FD"/>
    <w:rsid w:val="00EB20B0"/>
    <w:rsid w:val="00F05601"/>
    <w:rsid w:val="00F324B7"/>
    <w:rsid w:val="00F55BEA"/>
    <w:rsid w:val="00F778DE"/>
    <w:rsid w:val="00FE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9553"/>
  <w15:docId w15:val="{6EA1D465-BF8A-40E1-A86B-E82C9058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C87"/>
  </w:style>
  <w:style w:type="paragraph" w:styleId="Titolo1">
    <w:name w:val="heading 1"/>
    <w:basedOn w:val="Normale"/>
    <w:link w:val="Titolo1Carattere"/>
    <w:uiPriority w:val="9"/>
    <w:qFormat/>
    <w:rsid w:val="00576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5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5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6A8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5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5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910802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802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6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68E4"/>
    <w:rPr>
      <w:rFonts w:ascii="Courier New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E03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57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576A88"/>
    <w:rPr>
      <w:b/>
      <w:bCs/>
    </w:rPr>
  </w:style>
  <w:style w:type="character" w:styleId="Enfasicorsivo">
    <w:name w:val="Emphasis"/>
    <w:basedOn w:val="Carpredefinitoparagrafo"/>
    <w:uiPriority w:val="20"/>
    <w:qFormat/>
    <w:rsid w:val="007441E6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714BF"/>
    <w:pPr>
      <w:spacing w:after="500" w:line="240" w:lineRule="auto"/>
      <w:contextualSpacing/>
      <w:jc w:val="center"/>
    </w:pPr>
    <w:rPr>
      <w:rFonts w:eastAsiaTheme="majorEastAsia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14BF"/>
    <w:rPr>
      <w:rFonts w:eastAsiaTheme="majorEastAsia" w:cstheme="majorBidi"/>
      <w:smallCaps/>
      <w:color w:val="1F497D" w:themeColor="text2"/>
      <w:spacing w:val="-10"/>
      <w:kern w:val="28"/>
      <w:sz w:val="48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9D4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9C4"/>
  </w:style>
  <w:style w:type="paragraph" w:styleId="Pidipagina">
    <w:name w:val="footer"/>
    <w:basedOn w:val="Normale"/>
    <w:link w:val="PidipaginaCarattere"/>
    <w:uiPriority w:val="99"/>
    <w:unhideWhenUsed/>
    <w:rsid w:val="009D4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9C4"/>
  </w:style>
  <w:style w:type="character" w:customStyle="1" w:styleId="articolorubricaind">
    <w:name w:val="articolo_rubrica_ind"/>
    <w:basedOn w:val="Carpredefinitoparagrafo"/>
    <w:rsid w:val="00CB367B"/>
  </w:style>
  <w:style w:type="character" w:styleId="Collegamentoipertestuale">
    <w:name w:val="Hyperlink"/>
    <w:basedOn w:val="Carpredefinitoparagrafo"/>
    <w:uiPriority w:val="99"/>
    <w:unhideWhenUsed/>
    <w:rsid w:val="00CB367B"/>
    <w:rPr>
      <w:color w:val="0000FF"/>
      <w:u w:val="single"/>
    </w:rPr>
  </w:style>
  <w:style w:type="character" w:customStyle="1" w:styleId="caporubricaind">
    <w:name w:val="capo_rubrica_ind"/>
    <w:basedOn w:val="Carpredefinitoparagrafo"/>
    <w:rsid w:val="00CB367B"/>
  </w:style>
  <w:style w:type="paragraph" w:styleId="Paragrafoelenco">
    <w:name w:val="List Paragraph"/>
    <w:basedOn w:val="Normale"/>
    <w:uiPriority w:val="34"/>
    <w:qFormat/>
    <w:rsid w:val="00CB367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2B7D4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B7D45"/>
    <w:rPr>
      <w:rFonts w:ascii="Calibri" w:hAnsi="Calibri"/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09E3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F778DE"/>
    <w:pPr>
      <w:suppressAutoHyphens/>
      <w:autoSpaceDN w:val="0"/>
      <w:textAlignment w:val="baseline"/>
    </w:pPr>
    <w:rPr>
      <w:rFonts w:ascii="Times New Roman" w:eastAsia="SimSun" w:hAnsi="Times New Roman" w:cs="Tahoma"/>
      <w:kern w:val="3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7263">
          <w:marLeft w:val="45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0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0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3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7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0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1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4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1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3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2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7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6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5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3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9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1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14">
          <w:marLeft w:val="45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6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8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2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7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0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7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7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6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8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7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8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8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2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8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4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4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9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2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255">
          <w:marLeft w:val="45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0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1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6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8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6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8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7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0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1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4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6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0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7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7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9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5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0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1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3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6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9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9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8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5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8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6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7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750">
          <w:marLeft w:val="45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1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5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7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4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4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2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4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1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8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5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8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1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1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6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5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8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8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5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0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2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7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8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5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0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0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0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4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5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9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1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6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9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9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0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5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0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3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5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3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1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6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3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6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655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@ucvers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Marica</cp:lastModifiedBy>
  <cp:revision>6</cp:revision>
  <cp:lastPrinted>2023-02-16T11:04:00Z</cp:lastPrinted>
  <dcterms:created xsi:type="dcterms:W3CDTF">2024-02-06T07:36:00Z</dcterms:created>
  <dcterms:modified xsi:type="dcterms:W3CDTF">2024-02-07T08:48:00Z</dcterms:modified>
</cp:coreProperties>
</file>